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>
          <w:sz w:val="54"/>
          <w:szCs w:val="54"/>
        </w:rPr>
      </w:pPr>
      <w:bookmarkStart w:colFirst="0" w:colLast="0" w:name="_iqfmqgnihni5" w:id="0"/>
      <w:bookmarkEnd w:id="0"/>
      <w:r w:rsidDel="00000000" w:rsidR="00000000" w:rsidRPr="00000000">
        <w:rPr>
          <w:sz w:val="54"/>
          <w:szCs w:val="54"/>
          <w:rtl w:val="0"/>
        </w:rPr>
        <w:t xml:space="preserve">Flood Preparedness</w:t>
      </w:r>
    </w:p>
    <w:p w:rsidR="00000000" w:rsidDel="00000000" w:rsidP="00000000" w:rsidRDefault="00000000" w:rsidRPr="00000000" w14:paraId="00000002">
      <w:pPr>
        <w:pStyle w:val="Title"/>
        <w:rPr>
          <w:rFonts w:ascii="Covered By Your Grace" w:cs="Covered By Your Grace" w:eastAsia="Covered By Your Grace" w:hAnsi="Covered By Your Grace"/>
          <w:sz w:val="78"/>
          <w:szCs w:val="78"/>
        </w:rPr>
      </w:pPr>
      <w:bookmarkStart w:colFirst="0" w:colLast="0" w:name="_7nirn1svivny" w:id="1"/>
      <w:bookmarkEnd w:id="1"/>
      <w:r w:rsidDel="00000000" w:rsidR="00000000" w:rsidRPr="00000000">
        <w:rPr>
          <w:sz w:val="54"/>
          <w:szCs w:val="54"/>
          <w:rtl w:val="0"/>
        </w:rPr>
        <w:t xml:space="preserve"> </w:t>
      </w:r>
      <w:r w:rsidDel="00000000" w:rsidR="00000000" w:rsidRPr="00000000">
        <w:rPr>
          <w:rFonts w:ascii="Covered By Your Grace" w:cs="Covered By Your Grace" w:eastAsia="Covered By Your Grace" w:hAnsi="Covered By Your Grace"/>
          <w:sz w:val="78"/>
          <w:szCs w:val="78"/>
          <w:rtl w:val="0"/>
        </w:rPr>
        <w:t xml:space="preserve">Checklist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26"/>
          <w:szCs w:val="26"/>
          <w:rtl w:val="0"/>
        </w:rPr>
        <w:t xml:space="preserve">(for businesses)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"/>
        <w:gridCol w:w="2880"/>
        <w:tblGridChange w:id="0">
          <w:tblGrid>
            <w:gridCol w:w="7200"/>
            <w:gridCol w:w="2880"/>
          </w:tblGrid>
        </w:tblGridChange>
      </w:tblGrid>
      <w:tr>
        <w:trPr>
          <w:cantSplit w:val="0"/>
          <w:trHeight w:val="720" w:hRule="atLeast"/>
          <w:tblHeader w:val="1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a0e1ff" w:space="0" w:sz="8" w:val="single"/>
            </w:tcBorders>
            <w:shd w:fill="a0e1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Style w:val="Subtitle"/>
              <w:rPr>
                <w:sz w:val="20"/>
                <w:szCs w:val="20"/>
              </w:rPr>
            </w:pPr>
            <w:bookmarkStart w:colFirst="0" w:colLast="0" w:name="_fkid7erdobcu" w:id="2"/>
            <w:bookmarkEnd w:id="2"/>
            <w:r w:rsidDel="00000000" w:rsidR="00000000" w:rsidRPr="00000000">
              <w:rPr>
                <w:sz w:val="20"/>
                <w:szCs w:val="20"/>
                <w:rtl w:val="0"/>
              </w:rPr>
              <w:t xml:space="preserve">Today</w:t>
            </w:r>
          </w:p>
        </w:tc>
        <w:tc>
          <w:tcPr>
            <w:tcBorders>
              <w:top w:color="000000" w:space="0" w:sz="12" w:val="single"/>
              <w:left w:color="a0e1ff" w:space="0" w:sz="8" w:val="single"/>
              <w:bottom w:color="000000" w:space="0" w:sz="12" w:val="single"/>
              <w:right w:color="000000" w:space="0" w:sz="12" w:val="single"/>
            </w:tcBorders>
            <w:shd w:fill="a0e1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Style w:val="Heading1"/>
              <w:ind w:right="330"/>
              <w:jc w:val="right"/>
              <w:rPr>
                <w:sz w:val="20"/>
                <w:szCs w:val="20"/>
              </w:rPr>
            </w:pPr>
            <w:bookmarkStart w:colFirst="0" w:colLast="0" w:name="_rwwhvq4vdvnk" w:id="3"/>
            <w:bookmarkEnd w:id="3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an emergency contacts list: Friends/Neighbors who can help, MPD (Montpelier Police), Fire Dept, Montpelier Volunteer Hub #, Montpelier Alive #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Sign up for VT Alerts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Buy plastic bins, and construction bags for storage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Locate place to store inventory: Second floor, high shelving, off-site rental unit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Prioritize valuables (does insurance cover it? What is its worth?)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Locate where your utilities are, where the breaker is, and all outlets/cords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water resistant, flood resilient materials (metal vs. wood, removable hooks and shelving)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Don’t use the basement for storage if you can avoid it!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customized check-list for preparedness: Share with Staff!!!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VTSBDC Disaster Recovery Toolkit for Businesses: </w:t>
            </w:r>
            <w:hyperlink r:id="rId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https://www.vtsbdc.org/disaster-recovery/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Get flood insurance through Nat’l Flood Insurance program if possible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your insurance policy, and how a flood may effect it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Review lease with landlord: nobody wants any surprises! Be specific and detail oriented. Advocate for what you think you’ll need.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Pivot to Quickbooks online and other mobile technology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what the plan is if you are on vacation or unable to be at the shop: identify key staff or available staff and talk through the plan before leaving.</w:t>
            </w:r>
          </w:p>
        </w:tc>
      </w:tr>
    </w:tbl>
    <w:p w:rsidR="00000000" w:rsidDel="00000000" w:rsidP="00000000" w:rsidRDefault="00000000" w:rsidRPr="00000000" w14:paraId="00000017">
      <w:pPr>
        <w:tabs>
          <w:tab w:val="center" w:leader="none" w:pos="5760"/>
          <w:tab w:val="left" w:leader="none" w:pos="4320"/>
        </w:tabs>
        <w:ind w:left="1620" w:right="165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"/>
        <w:gridCol w:w="2880"/>
        <w:tblGridChange w:id="0">
          <w:tblGrid>
            <w:gridCol w:w="7200"/>
            <w:gridCol w:w="2880"/>
          </w:tblGrid>
        </w:tblGridChange>
      </w:tblGrid>
      <w:tr>
        <w:trPr>
          <w:cantSplit w:val="0"/>
          <w:trHeight w:val="720" w:hRule="atLeast"/>
          <w:tblHeader w:val="1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10ad61" w:space="0" w:sz="8" w:val="single"/>
            </w:tcBorders>
            <w:shd w:fill="10ad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Style w:val="Subtitle"/>
              <w:rPr>
                <w:sz w:val="20"/>
                <w:szCs w:val="20"/>
              </w:rPr>
            </w:pPr>
            <w:bookmarkStart w:colFirst="0" w:colLast="0" w:name="_5w5q8jipbm9" w:id="4"/>
            <w:bookmarkEnd w:id="4"/>
            <w:r w:rsidDel="00000000" w:rsidR="00000000" w:rsidRPr="00000000">
              <w:rPr>
                <w:sz w:val="20"/>
                <w:szCs w:val="20"/>
                <w:rtl w:val="0"/>
              </w:rPr>
              <w:t xml:space="preserve">Flood Warning: Action Stage, Major Flood Risk</w:t>
            </w:r>
          </w:p>
        </w:tc>
        <w:tc>
          <w:tcPr>
            <w:tcBorders>
              <w:top w:color="000000" w:space="0" w:sz="12" w:val="single"/>
              <w:left w:color="10ad61" w:space="0" w:sz="8" w:val="single"/>
              <w:bottom w:color="000000" w:space="0" w:sz="12" w:val="single"/>
              <w:right w:color="000000" w:space="0" w:sz="12" w:val="single"/>
            </w:tcBorders>
            <w:shd w:fill="10ad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Style w:val="Heading1"/>
              <w:ind w:right="330"/>
              <w:jc w:val="right"/>
              <w:rPr>
                <w:sz w:val="20"/>
                <w:szCs w:val="20"/>
              </w:rPr>
            </w:pPr>
            <w:bookmarkStart w:colFirst="0" w:colLast="0" w:name="_h4w2l32z4z" w:id="5"/>
            <w:bookmarkEnd w:id="5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Plan for up to 5 hours of prep time (close early, it’s worth it!)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Pack up merchandise, office files, and anything else that fits into the plastic bins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U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nplug power cords for the computers and electronics, heater/AC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rPr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Turn off main breaker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Pack up POS system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Move inventory 4-6 feet off the floor, move equipment out of basement, wrap freezers/equipment in plastic/saran wrap if you can’t move them.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Elevate display cases (use milk crates or cinder blocks/bricks, plastic buckets)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Roll up and stash away rugs, anything on the floor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Mentally prepare: take the time to think through your recovery steps and the worst case scenarios. Plan ahead. Breathe.</w:t>
            </w:r>
          </w:p>
        </w:tc>
      </w:tr>
    </w:tbl>
    <w:p w:rsidR="00000000" w:rsidDel="00000000" w:rsidP="00000000" w:rsidRDefault="00000000" w:rsidRPr="00000000" w14:paraId="00000024">
      <w:pPr>
        <w:tabs>
          <w:tab w:val="center" w:leader="none" w:pos="5760"/>
          <w:tab w:val="left" w:leader="none" w:pos="4320"/>
        </w:tabs>
        <w:ind w:left="1620" w:right="165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"/>
        <w:gridCol w:w="2880"/>
        <w:tblGridChange w:id="0">
          <w:tblGrid>
            <w:gridCol w:w="7200"/>
            <w:gridCol w:w="2880"/>
          </w:tblGrid>
        </w:tblGridChange>
      </w:tblGrid>
      <w:tr>
        <w:trPr>
          <w:cantSplit w:val="0"/>
          <w:trHeight w:val="720" w:hRule="atLeast"/>
          <w:tblHeader w:val="1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f6617" w:space="0" w:sz="8" w:val="single"/>
            </w:tcBorders>
            <w:shd w:fill="ff661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Style w:val="Subtitle"/>
              <w:ind w:left="0" w:firstLine="0"/>
              <w:rPr>
                <w:sz w:val="20"/>
                <w:szCs w:val="20"/>
              </w:rPr>
            </w:pPr>
            <w:bookmarkStart w:colFirst="0" w:colLast="0" w:name="_hp58uchw7tmv" w:id="6"/>
            <w:bookmarkEnd w:id="6"/>
            <w:r w:rsidDel="00000000" w:rsidR="00000000" w:rsidRPr="00000000">
              <w:rPr>
                <w:sz w:val="20"/>
                <w:szCs w:val="20"/>
                <w:rtl w:val="0"/>
              </w:rPr>
              <w:t xml:space="preserve">     Recovery: First Steps</w:t>
            </w:r>
          </w:p>
        </w:tc>
        <w:tc>
          <w:tcPr>
            <w:tcBorders>
              <w:top w:color="000000" w:space="0" w:sz="12" w:val="single"/>
              <w:left w:color="ff6617" w:space="0" w:sz="8" w:val="single"/>
              <w:bottom w:color="000000" w:space="0" w:sz="12" w:val="single"/>
              <w:right w:color="000000" w:space="0" w:sz="12" w:val="single"/>
            </w:tcBorders>
            <w:shd w:fill="ff661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Style w:val="Heading1"/>
              <w:ind w:right="330"/>
              <w:jc w:val="center"/>
              <w:rPr>
                <w:sz w:val="20"/>
                <w:szCs w:val="20"/>
              </w:rPr>
            </w:pPr>
            <w:bookmarkStart w:colFirst="0" w:colLast="0" w:name="_e1swmz29p2hi" w:id="7"/>
            <w:bookmarkEnd w:id="7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File 211 form (Disaster Declaration and FEMA)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Take pictures for insurance purposes, document inventory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Clean and muck out, discard toxics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Ask for volunteers through the Montpelier Hub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Reserve a moving truck or van if need be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Find storage space off site or above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Apply for disaster unemployment: Department of Labor, Employees apply for unemployment if needed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Pivot to maintain a revenue stream: Plan flood sale, boost online sales, enter Merchant Market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Find your resources: </w:t>
            </w:r>
            <w:hyperlink r:id="rId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Montpelier Alive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hyperlink r:id="rId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State of Vermont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hyperlink r:id="rId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VTSBDC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CVEDC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hyperlink r:id="rId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Main Street America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hyperlink r:id="rId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City of Montpelier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and </w:t>
            </w:r>
            <w:hyperlink r:id="rId1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Montpelier webpage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hyperlink r:id="rId1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Montpelier Commission for Recovery and Resilience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Research grant funding and disaster relief: </w:t>
            </w:r>
            <w:hyperlink r:id="rId1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Montpelier Alive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hyperlink r:id="rId1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State of Vermont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hyperlink r:id="rId1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CVEDC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hyperlink r:id="rId1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MCRR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hyperlink r:id="rId1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Montpelier Foundation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, etc.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Comments and Feedback: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00" w:line="276" w:lineRule="auto"/>
        <w:ind w:left="720" w:right="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Decide Where are you getting your information? What channel are you going to tune into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Each business should hash out a thorough plan based on their own needs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beforeAutospacing="0" w:line="276" w:lineRule="auto"/>
        <w:ind w:left="720" w:right="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Volunteer hub functions best if they know how many volunteers might be needed prior - submit expected numbers to Montpelier Alive, or write it into your emergency plan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vered By Your Grace">
    <w:embedRegular w:fontKey="{00000000-0000-0000-0000-000000000000}" r:id="rId1" w:subsetted="0"/>
  </w:font>
  <w:font w:name="Rubik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Roboto Serif Medium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ubik" w:cs="Rubik" w:eastAsia="Rubik" w:hAnsi="Rubik"/>
        <w:sz w:val="32"/>
        <w:szCs w:val="32"/>
        <w:lang w:val="en"/>
      </w:rPr>
    </w:rPrDefault>
    <w:pPrDefault>
      <w:pPr>
        <w:spacing w:after="200" w:before="200" w:line="276" w:lineRule="auto"/>
        <w:ind w:left="810" w:hanging="45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ind w:left="0" w:firstLine="0"/>
      <w:jc w:val="center"/>
    </w:pPr>
    <w:rPr>
      <w:sz w:val="32"/>
      <w:szCs w:val="32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Rule="auto"/>
      <w:ind w:left="0" w:firstLine="0"/>
    </w:pPr>
    <w:rPr>
      <w:shd w:fill="5ae59c" w:val="clear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Rule="auto"/>
      <w:ind w:left="90" w:firstLine="0"/>
    </w:pPr>
    <w:rPr>
      <w:shd w:fill="ff925a" w:val="clear"/>
    </w:rPr>
  </w:style>
  <w:style w:type="paragraph" w:styleId="Heading4">
    <w:name w:val="heading 4"/>
    <w:basedOn w:val="Normal"/>
    <w:next w:val="Normal"/>
    <w:pPr>
      <w:keepNext w:val="1"/>
      <w:keepLines w:val="1"/>
      <w:spacing w:after="0" w:lineRule="auto"/>
      <w:ind w:left="90" w:firstLine="0"/>
    </w:pPr>
    <w:rPr>
      <w:shd w:fill="ffd3fe" w:val="clear"/>
    </w:rPr>
  </w:style>
  <w:style w:type="paragraph" w:styleId="Heading5">
    <w:name w:val="heading 5"/>
    <w:basedOn w:val="Normal"/>
    <w:next w:val="Normal"/>
    <w:pPr>
      <w:keepNext w:val="1"/>
      <w:keepLines w:val="1"/>
      <w:spacing w:after="0" w:lineRule="auto"/>
      <w:ind w:left="90" w:firstLine="0"/>
    </w:pPr>
    <w:rPr>
      <w:shd w:fill="9ce1ff" w:val="clear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0" w:line="240" w:lineRule="auto"/>
      <w:ind w:left="0" w:firstLine="0"/>
    </w:pPr>
    <w:rPr>
      <w:rFonts w:ascii="Covered By Your Grace" w:cs="Covered By Your Grace" w:eastAsia="Covered By Your Grace" w:hAnsi="Covered By Your Grace"/>
      <w:sz w:val="144"/>
      <w:szCs w:val="144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="240" w:lineRule="auto"/>
      <w:ind w:left="0" w:firstLine="0"/>
      <w:jc w:val="center"/>
    </w:pPr>
    <w:rPr>
      <w:rFonts w:ascii="Roboto Serif Medium" w:cs="Roboto Serif Medium" w:eastAsia="Roboto Serif Medium" w:hAnsi="Roboto Serif Medium"/>
      <w:sz w:val="120"/>
      <w:szCs w:val="120"/>
    </w:rPr>
  </w:style>
  <w:style w:type="paragraph" w:styleId="Subtitle">
    <w:name w:val="Subtitle"/>
    <w:basedOn w:val="Normal"/>
    <w:next w:val="Normal"/>
    <w:pPr>
      <w:keepNext w:val="1"/>
      <w:keepLines w:val="1"/>
      <w:spacing w:after="0" w:before="0" w:line="240" w:lineRule="auto"/>
      <w:ind w:left="360"/>
    </w:pPr>
    <w:rPr>
      <w:rFonts w:ascii="Roboto Serif Medium" w:cs="Roboto Serif Medium" w:eastAsia="Roboto Serif Medium" w:hAnsi="Roboto Serif Medium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ainstreet.org/resources/knowledge-hub/toolkit/main-street-disaster-and-resilience-toolkit" TargetMode="External"/><Relationship Id="rId10" Type="http://schemas.openxmlformats.org/officeDocument/2006/relationships/hyperlink" Target="https://www.centralvermont.org/regional-project-priority-list?ss_source=sscampaigns&amp;ss_campaign_id=66c38fccd4afc426a1d3822f&amp;ss_email_id=66c394dc3d1c787332de5866&amp;ss_campaign_name=Apply+now+for+Regional+Project+Priority+List&amp;ss_campaign_sent_date=2024-08-19T18%3A54%3A38Z" TargetMode="External"/><Relationship Id="rId13" Type="http://schemas.openxmlformats.org/officeDocument/2006/relationships/hyperlink" Target="https://www.montpelier-vt.org/1407/Flood-Disaster-Recovery-Assistance" TargetMode="External"/><Relationship Id="rId12" Type="http://schemas.openxmlformats.org/officeDocument/2006/relationships/hyperlink" Target="https://www.montpelier-vt.org/DocumentCenter/View/11218/Disaster-Preparedness-Checklist-PDF?bidId=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vtsbdc.org/disaster-recovery/" TargetMode="External"/><Relationship Id="rId15" Type="http://schemas.openxmlformats.org/officeDocument/2006/relationships/hyperlink" Target="http://www.montpelieralive.com" TargetMode="External"/><Relationship Id="rId14" Type="http://schemas.openxmlformats.org/officeDocument/2006/relationships/hyperlink" Target="http://www.montpelierstrong.org" TargetMode="External"/><Relationship Id="rId17" Type="http://schemas.openxmlformats.org/officeDocument/2006/relationships/hyperlink" Target="https://www.centralvermont.org/regional-project-priority-list?ss_source=sscampaigns&amp;ss_campaign_id=66c38fccd4afc426a1d3822f&amp;ss_email_id=66c394dc3d1c787332de5866&amp;ss_campaign_name=Apply+now+for+Regional+Project+Priority+List&amp;ss_campaign_sent_date=2024-08-19T18%3A54%3A38Z" TargetMode="External"/><Relationship Id="rId16" Type="http://schemas.openxmlformats.org/officeDocument/2006/relationships/hyperlink" Target="https://accd.vermont.gov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montpelierfoundation.org" TargetMode="External"/><Relationship Id="rId6" Type="http://schemas.openxmlformats.org/officeDocument/2006/relationships/hyperlink" Target="https://www.vtsbdc.org/disaster-recovery/" TargetMode="External"/><Relationship Id="rId18" Type="http://schemas.openxmlformats.org/officeDocument/2006/relationships/hyperlink" Target="http://www.montpelierstrong.org" TargetMode="External"/><Relationship Id="rId7" Type="http://schemas.openxmlformats.org/officeDocument/2006/relationships/hyperlink" Target="http://www.montpelieralive.com" TargetMode="External"/><Relationship Id="rId8" Type="http://schemas.openxmlformats.org/officeDocument/2006/relationships/hyperlink" Target="https://accd.vermont.go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veredByYourGrace-regular.ttf"/><Relationship Id="rId2" Type="http://schemas.openxmlformats.org/officeDocument/2006/relationships/font" Target="fonts/Rubik-regular.ttf"/><Relationship Id="rId3" Type="http://schemas.openxmlformats.org/officeDocument/2006/relationships/font" Target="fonts/Rubik-bold.ttf"/><Relationship Id="rId4" Type="http://schemas.openxmlformats.org/officeDocument/2006/relationships/font" Target="fonts/Rubik-italic.ttf"/><Relationship Id="rId9" Type="http://schemas.openxmlformats.org/officeDocument/2006/relationships/font" Target="fonts/RobotoSerifMedium-boldItalic.ttf"/><Relationship Id="rId5" Type="http://schemas.openxmlformats.org/officeDocument/2006/relationships/font" Target="fonts/Rubik-boldItalic.ttf"/><Relationship Id="rId6" Type="http://schemas.openxmlformats.org/officeDocument/2006/relationships/font" Target="fonts/RobotoSerifMedium-regular.ttf"/><Relationship Id="rId7" Type="http://schemas.openxmlformats.org/officeDocument/2006/relationships/font" Target="fonts/RobotoSerifMedium-bold.ttf"/><Relationship Id="rId8" Type="http://schemas.openxmlformats.org/officeDocument/2006/relationships/font" Target="fonts/RobotoSerifMedium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